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b82d1eaf14c26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16939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TREĆA EKONOMSKA ŠKOLA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1.245.540,22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1.130.856,52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90,8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1.361.713,61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1.117.326,04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13.530,48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5.451,29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5.451,29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8.079,19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Višak prihoda poslovanja javlja se jer nisu svi primljeni prihodi potrošeni.  </w:t>
      </w:r>
    </w:p>
    <w:p>
      <w:r>
        <w:t xml:space="preserve">Manjak prihoda od nefinancijske imovine se javlja jer su rashodi za nabavu namještaja i opreme knjiženi na kontu 4, a plaćeni su iz prihoda koji su na kontu 6. </w:t>
      </w:r>
    </w:p>
    <w:p>
      <w:r>
        <w:t xml:space="preserve">Višak prihoda i primitaka razlika je između viška prihoda poslovanja i manjka prihoda od nefinancijske imovine.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939.230,90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1.032.330,45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109,9</w:t>
            </w:r>
          </w:p>
        </w:tc>
      </w:tr>
    </w:tbl>
    <w:p>
      <w:pPr>
        <w:spacing w:before="0" w:after="0"/>
      </w:pPr>
    </w:p>
    <w:p>
      <w:r>
        <w:t xml:space="preserve">prihodi za plaće, za materijalna prava, za rad mentora s pripravnikom, za nabavu psihodijagnostike za rad s učenicima  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Tekući prijenosi između proračunskih korisnika istog proračuna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1.758,90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1.591,33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90,5</w:t>
            </w:r>
          </w:p>
        </w:tc>
      </w:tr>
    </w:tbl>
    <w:p>
      <w:pPr>
        <w:spacing w:before="0" w:after="0"/>
      </w:pPr>
    </w:p>
    <w:p>
      <w:r>
        <w:t xml:space="preserve">prihodi za školsku shemu voća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5.553,71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8.995,32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162,0</w:t>
            </w:r>
          </w:p>
        </w:tc>
      </w:tr>
    </w:tbl>
    <w:p>
      <w:pPr>
        <w:spacing w:before="0" w:after="0"/>
      </w:pPr>
    </w:p>
    <w:p>
      <w:r>
        <w:t xml:space="preserve">prihodi od izdavanja duplikata svjedodžbi i od turističkih agencija za dnevnice nastavnika koji idu u pratnji učenika na izlete i terensku nastavu – izvanučioničku nastavu, novac učenika za naknadu štete  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pruženih usluga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9.571,25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6.519,82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68,1</w:t>
            </w:r>
          </w:p>
        </w:tc>
      </w:tr>
    </w:tbl>
    <w:p>
      <w:pPr>
        <w:spacing w:before="0" w:after="0"/>
      </w:pPr>
    </w:p>
    <w:p>
      <w:r>
        <w:t xml:space="preserve">prihodi od davanje na korištenje dvorane za TZK i prostora škole za postavljanje aparata za tople i hladne napitke  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289.425,46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78.595,15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27,2</w:t>
            </w:r>
          </w:p>
        </w:tc>
      </w:tr>
    </w:tbl>
    <w:p>
      <w:pPr>
        <w:spacing w:before="0" w:after="0"/>
      </w:pPr>
    </w:p>
    <w:p>
      <w:r>
        <w:t xml:space="preserve">Osnivač je doznačio sredstva za redovno poslovanje Škole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2.824,45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Osnivač je doznačio sredstva za nabavu namještaja za uređenje prostora Škole za ugodniji boravak i druženje učenika u vrijeme školskih odmora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rashodi za zaposlene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40.570,91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33.424,04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82,4</w:t>
            </w:r>
          </w:p>
        </w:tc>
      </w:tr>
    </w:tbl>
    <w:p>
      <w:pPr>
        <w:spacing w:before="0" w:after="0"/>
      </w:pPr>
    </w:p>
    <w:p>
      <w:r>
        <w:t xml:space="preserve">rashodi su manji jer nije bilo isplata otpremnina zbog odlaska u mirovinu i jubilarnih nagrada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 putovanja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7.162,64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5.897,24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82,3</w:t>
            </w:r>
          </w:p>
        </w:tc>
      </w:tr>
    </w:tbl>
    <w:p>
      <w:pPr>
        <w:spacing w:before="0" w:after="0"/>
      </w:pPr>
    </w:p>
    <w:p>
      <w:r>
        <w:t xml:space="preserve">nastavnici su išli na izvanučioničku nastavu i službena putovanja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prijevoz, za rad na terenu i odvojeni život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20.113,00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18.863,34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93,8</w:t>
            </w:r>
          </w:p>
        </w:tc>
      </w:tr>
    </w:tbl>
    <w:p>
      <w:pPr>
        <w:spacing w:before="0" w:after="0"/>
      </w:pPr>
    </w:p>
    <w:p>
      <w:r>
        <w:t xml:space="preserve">smanjen rashod za prijevoz zbog bolovanja zaposlenika 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Stručno usavršavanje zaposlenika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583,00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1.790,17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307,1</w:t>
            </w:r>
          </w:p>
        </w:tc>
      </w:tr>
    </w:tbl>
    <w:p>
      <w:pPr>
        <w:spacing w:before="0" w:after="0"/>
      </w:pPr>
    </w:p>
    <w:p>
      <w:r>
        <w:t xml:space="preserve">stručna osposobljavanja zbog modularne nastave i priprema EU projekata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naknade troškova zaposlenima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loco vožnja domara kad koristi svoj osobni automobil pri nabavi za potrebe Škole    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sirovine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2.219,28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2.128,19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95,9</w:t>
            </w:r>
          </w:p>
        </w:tc>
      </w:tr>
    </w:tbl>
    <w:p>
      <w:pPr>
        <w:spacing w:before="0" w:after="0"/>
      </w:pPr>
    </w:p>
    <w:p>
      <w:r>
        <w:t xml:space="preserve">rashodi za školsku shemu voća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dijelovi za tekuće i investicijsko održavanje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5.522,44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619,53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11,2</w:t>
            </w:r>
          </w:p>
        </w:tc>
      </w:tr>
    </w:tbl>
    <w:p>
      <w:pPr>
        <w:spacing w:before="0" w:after="0"/>
      </w:pPr>
    </w:p>
    <w:p>
      <w:r>
        <w:t xml:space="preserve">školska zgrada je stara i potrebno je stalno popravljanje, no Osnivač mnogo ulaže u obnovu zgrade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177.377,42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7.718,36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4,4</w:t>
            </w:r>
          </w:p>
        </w:tc>
      </w:tr>
    </w:tbl>
    <w:p>
      <w:pPr>
        <w:spacing w:before="0" w:after="0"/>
      </w:pPr>
    </w:p>
    <w:p>
      <w:r>
        <w:t xml:space="preserve">u školi su u toku radovi na obnovi zgrade 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Zdravstvene i veterinarske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3.405,00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3.114,50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91,5</w:t>
            </w:r>
          </w:p>
        </w:tc>
      </w:tr>
    </w:tbl>
    <w:p>
      <w:pPr>
        <w:spacing w:before="0" w:after="0"/>
      </w:pPr>
    </w:p>
    <w:p>
      <w:r>
        <w:t xml:space="preserve">sistematski pregledi trećine radnika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14.018,54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2.944,00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21,0</w:t>
            </w:r>
          </w:p>
        </w:tc>
      </w:tr>
    </w:tbl>
    <w:p>
      <w:pPr>
        <w:spacing w:before="0" w:after="0"/>
      </w:pPr>
    </w:p>
    <w:p>
      <w:r>
        <w:t xml:space="preserve">kako nema više obrazovanja odraslih nema niti rashoda za „honorare“ izvođača u obrazovanju odraslih pa su rashodi smanjeni; izrada loga škole, rashodi za e-tehničara 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2.618,20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3.430,43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131,0</w:t>
            </w:r>
          </w:p>
        </w:tc>
      </w:tr>
    </w:tbl>
    <w:p>
      <w:pPr>
        <w:spacing w:before="0" w:after="0"/>
      </w:pPr>
    </w:p>
    <w:p>
      <w:r>
        <w:t xml:space="preserve">rashodi za usluge fotokopiranje, centralnog dojavnog sustava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troškova osobama izvan radnog odnosa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prema Odluci MZOM-a , učenicima iz Ukrajine MZOM plaća dio troškova izvanučioničke nastave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Premije osiguranja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3.659,28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premije osiguranja imovine i od odgovornosti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Reprezentacija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1.435,49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1.826,82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127,3</w:t>
            </w:r>
          </w:p>
        </w:tc>
      </w:tr>
    </w:tbl>
    <w:p>
      <w:pPr>
        <w:spacing w:before="0" w:after="0"/>
      </w:pPr>
    </w:p>
    <w:p>
      <w:r>
        <w:t xml:space="preserve">dio rashoda za reprezentaciju je vezan uz fakultativnu nastavu „Škola i zajednica“ i „Zajednica aktivnih građana“, rashoda za „Dojdi osmaš“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Obračunati prihodi poslovanja - nenaplaćeni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154.002,43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161.654,63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105,0</w:t>
            </w:r>
          </w:p>
        </w:tc>
      </w:tr>
    </w:tbl>
    <w:p>
      <w:pPr>
        <w:spacing w:before="0" w:after="0"/>
      </w:pPr>
    </w:p>
    <w:p>
      <w:r>
        <w:t xml:space="preserve">plaća i materijalna prava za 06/2026.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Uredska oprema i namještaj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2.829,45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nabava namještaja za uređenje prostora Škole za ugodniji boravak i druženje učenika u vrijeme školskih odmora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Sportska i glazbena oprema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2.621,84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nabava sportske opreme potrebne za izvođenje nastave TZK-a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nema dospjelih obveza na kraju izvještajnog razdoblja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281.910,43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postoje nedospjele obveze za bolovanja na teret HZZO-a, obveze za neplaćene ulazne račune za materijalne i financijske rashode, za plaću za 06/2026. 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na izvoru financiranja 565 su prihodi i rashodi za školsku shemu voća. Škola dobiva sredstva od Osnivača. Radi usklađivanja s Osnivačem prihodi se knjiže na 6393, a rashodi na 3222.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8334ecb78bb405a" /></Relationships>
</file>